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492" w:rsidRDefault="00AB1492">
      <w:pPr>
        <w:jc w:val="both"/>
        <w:rPr>
          <w:sz w:val="26"/>
        </w:rPr>
      </w:pPr>
    </w:p>
    <w:p w:rsidR="00AB1492" w:rsidRDefault="00616C9B">
      <w:pPr>
        <w:pStyle w:val="ad"/>
        <w:rPr>
          <w:b w:val="0"/>
          <w:sz w:val="26"/>
        </w:rPr>
      </w:pPr>
      <w:r>
        <w:rPr>
          <w:b w:val="0"/>
          <w:sz w:val="26"/>
        </w:rPr>
        <w:t>СПРАВКА</w:t>
      </w:r>
    </w:p>
    <w:p w:rsidR="00AB1492" w:rsidRDefault="00616C9B">
      <w:pPr>
        <w:jc w:val="center"/>
        <w:rPr>
          <w:sz w:val="26"/>
        </w:rPr>
      </w:pPr>
      <w:r>
        <w:rPr>
          <w:sz w:val="26"/>
        </w:rPr>
        <w:t>о работе с обращениями граждан и запросами пользователей информацией</w:t>
      </w:r>
    </w:p>
    <w:p w:rsidR="00AB1492" w:rsidRDefault="00616C9B">
      <w:pPr>
        <w:jc w:val="center"/>
        <w:rPr>
          <w:sz w:val="26"/>
        </w:rPr>
      </w:pPr>
      <w:r>
        <w:rPr>
          <w:sz w:val="26"/>
        </w:rPr>
        <w:t>в УФНС России по Кировской области за 1 квартал 2026 года.</w:t>
      </w:r>
    </w:p>
    <w:p w:rsidR="00AB1492" w:rsidRDefault="00AB1492">
      <w:pPr>
        <w:jc w:val="both"/>
        <w:rPr>
          <w:sz w:val="26"/>
        </w:rPr>
      </w:pP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 xml:space="preserve">В УФНС России по Кировской области (далее - Управление) в 1 квартале 2026 года поступило </w:t>
      </w:r>
      <w:r>
        <w:rPr>
          <w:b/>
          <w:sz w:val="26"/>
        </w:rPr>
        <w:t xml:space="preserve">15623 </w:t>
      </w:r>
      <w:r>
        <w:rPr>
          <w:sz w:val="26"/>
        </w:rPr>
        <w:t xml:space="preserve">обращения граждан, </w:t>
      </w:r>
      <w:r>
        <w:rPr>
          <w:sz w:val="26"/>
        </w:rPr>
        <w:t xml:space="preserve">организаций и общественных объединений, в том числе зарегистрировано в БД СЭД-Регион «Канцелярия ЗГ» -  </w:t>
      </w:r>
      <w:r>
        <w:rPr>
          <w:b/>
          <w:sz w:val="26"/>
        </w:rPr>
        <w:t>4157</w:t>
      </w:r>
      <w:r>
        <w:rPr>
          <w:sz w:val="26"/>
        </w:rPr>
        <w:t xml:space="preserve"> обращений, в прикладной подсистеме «Система обработки обращений налогоплательщиков» (далее - ПП СООН) – </w:t>
      </w:r>
      <w:r>
        <w:rPr>
          <w:b/>
          <w:sz w:val="26"/>
        </w:rPr>
        <w:t xml:space="preserve">11466 </w:t>
      </w:r>
      <w:r>
        <w:rPr>
          <w:sz w:val="26"/>
        </w:rPr>
        <w:t xml:space="preserve">обращений. 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>К аналогичному периоду пр</w:t>
      </w:r>
      <w:r>
        <w:rPr>
          <w:sz w:val="26"/>
        </w:rPr>
        <w:t>ошлого года прослеживается рост количества обращений граждан, организаций и общественных объединений на 42 % (в 1 квартале 2025 года поступило – 10928 обращений). Увеличение количества обращений выявлено по тематикам Налогообложение доходов физических лиц,</w:t>
      </w:r>
      <w:r>
        <w:rPr>
          <w:sz w:val="26"/>
        </w:rPr>
        <w:t xml:space="preserve"> Учет налогоплательщиков/получение и отказ от ИНН.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 xml:space="preserve">В отчетном периоде через электронные сервисы поступило </w:t>
      </w:r>
      <w:r>
        <w:rPr>
          <w:b/>
          <w:sz w:val="26"/>
        </w:rPr>
        <w:t>14045</w:t>
      </w:r>
      <w:r>
        <w:rPr>
          <w:sz w:val="26"/>
        </w:rPr>
        <w:t xml:space="preserve"> обращений (90 %), по системе межведомственного электронного документооборота – </w:t>
      </w:r>
      <w:r>
        <w:rPr>
          <w:b/>
          <w:sz w:val="26"/>
        </w:rPr>
        <w:t>90</w:t>
      </w:r>
      <w:r>
        <w:rPr>
          <w:sz w:val="26"/>
        </w:rPr>
        <w:t xml:space="preserve"> обращений (0,6 %), на бумажном носителе – </w:t>
      </w:r>
      <w:r>
        <w:rPr>
          <w:b/>
          <w:sz w:val="26"/>
        </w:rPr>
        <w:t>1488</w:t>
      </w:r>
      <w:r>
        <w:rPr>
          <w:sz w:val="26"/>
        </w:rPr>
        <w:t xml:space="preserve"> обращений (9,5 </w:t>
      </w:r>
      <w:r>
        <w:rPr>
          <w:sz w:val="26"/>
        </w:rPr>
        <w:t xml:space="preserve">%). </w:t>
      </w:r>
    </w:p>
    <w:p w:rsidR="00AB1492" w:rsidRDefault="00616C9B">
      <w:pPr>
        <w:pStyle w:val="Default"/>
        <w:ind w:firstLine="851"/>
        <w:jc w:val="both"/>
        <w:rPr>
          <w:sz w:val="26"/>
        </w:rPr>
      </w:pPr>
      <w:r>
        <w:rPr>
          <w:sz w:val="26"/>
        </w:rPr>
        <w:t xml:space="preserve">Из общего количества обращений, поступивших в Управление в 1 квартале 2026 года, </w:t>
      </w:r>
      <w:r>
        <w:rPr>
          <w:b/>
          <w:sz w:val="26"/>
        </w:rPr>
        <w:t>13118</w:t>
      </w:r>
      <w:r>
        <w:rPr>
          <w:sz w:val="26"/>
        </w:rPr>
        <w:t xml:space="preserve"> (84 %) составили обращения физических лиц и индивидуальных предпринимателей, </w:t>
      </w:r>
      <w:r>
        <w:rPr>
          <w:b/>
          <w:sz w:val="26"/>
        </w:rPr>
        <w:t>2505</w:t>
      </w:r>
      <w:r>
        <w:rPr>
          <w:sz w:val="26"/>
        </w:rPr>
        <w:t xml:space="preserve"> (16 %) - обращения юридических лиц.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>Наибольшее количество обращений, поступивших в</w:t>
      </w:r>
      <w:r>
        <w:rPr>
          <w:sz w:val="26"/>
        </w:rPr>
        <w:t xml:space="preserve"> Управление в отчетном периоде, составили обращения с тематикой </w:t>
      </w:r>
      <w:r>
        <w:rPr>
          <w:i/>
          <w:sz w:val="26"/>
        </w:rPr>
        <w:t xml:space="preserve">Налогообложения доходов физических лиц </w:t>
      </w:r>
      <w:r>
        <w:rPr>
          <w:b/>
          <w:sz w:val="26"/>
        </w:rPr>
        <w:t>– 3746</w:t>
      </w:r>
      <w:r>
        <w:rPr>
          <w:sz w:val="26"/>
        </w:rPr>
        <w:t xml:space="preserve"> обращений (24 % от общего количества). В большинстве случаев, заявители просили предоставить информацию о наличии остатков по имущественному налог</w:t>
      </w:r>
      <w:r>
        <w:rPr>
          <w:sz w:val="26"/>
        </w:rPr>
        <w:t>овому вычету по расходам, связанным с приобретением жилых объектов недвижимости, и фактически произведенным расходам, связанным с погашением процентов по целевым займам (кредитам), направленным на приобретение жилья. Кроме того, заявители просили разъяснит</w:t>
      </w:r>
      <w:r>
        <w:rPr>
          <w:sz w:val="26"/>
        </w:rPr>
        <w:t>ь вопросы о порядке предоставления социальных, имущественных налоговых вычетов по НДФЛ, возникновения у физических лиц обязанности представления налоговой декларации формы 3-НДФЛ при продаже имущества, при получении в дар объектов недвижимости.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>Существенны</w:t>
      </w:r>
      <w:r>
        <w:rPr>
          <w:sz w:val="26"/>
        </w:rPr>
        <w:t xml:space="preserve">й удельный вес обращений, составили по вопросам </w:t>
      </w:r>
      <w:r>
        <w:rPr>
          <w:i/>
          <w:sz w:val="26"/>
        </w:rPr>
        <w:t xml:space="preserve">Учет налогоплательщиков/получение и отказ от ИНН </w:t>
      </w:r>
      <w:r>
        <w:rPr>
          <w:sz w:val="26"/>
        </w:rPr>
        <w:t xml:space="preserve">– 17,2 % от общего количества или </w:t>
      </w:r>
      <w:r>
        <w:rPr>
          <w:b/>
          <w:sz w:val="26"/>
        </w:rPr>
        <w:t>2698</w:t>
      </w:r>
      <w:r>
        <w:rPr>
          <w:sz w:val="26"/>
        </w:rPr>
        <w:t>. Основную часть обращений по указанной тематике составляют запросы физических и юридических лиц о предоставлении информа</w:t>
      </w:r>
      <w:r>
        <w:rPr>
          <w:sz w:val="26"/>
        </w:rPr>
        <w:t>ции о счетах в банках. Часть обращений связана с внесением соответствующих изменений в Единый государственный реестр налогоплательщиков (ЕГРН).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 xml:space="preserve">Немалую часть в текущем периоде составили обращения с тематикой </w:t>
      </w:r>
      <w:r>
        <w:rPr>
          <w:i/>
          <w:sz w:val="26"/>
        </w:rPr>
        <w:t>состояния расчетов с бюджетом, а именно: задолже</w:t>
      </w:r>
      <w:r>
        <w:rPr>
          <w:i/>
          <w:sz w:val="26"/>
        </w:rPr>
        <w:t>нность по налогам, сборам и взносам перед бюджетом РФ. Взыскание задолженности, доступ к персонифицированной информации о состоянии расчета с бюджетом; возврат (зачет) сумм налогов, сборов, пеней, штрафов</w:t>
      </w:r>
      <w:r>
        <w:rPr>
          <w:sz w:val="26"/>
        </w:rPr>
        <w:t xml:space="preserve"> – </w:t>
      </w:r>
      <w:r>
        <w:rPr>
          <w:b/>
          <w:sz w:val="26"/>
        </w:rPr>
        <w:t>1610</w:t>
      </w:r>
      <w:r>
        <w:rPr>
          <w:sz w:val="26"/>
        </w:rPr>
        <w:t xml:space="preserve"> обращений (10,3 % от общего количества). Нал</w:t>
      </w:r>
      <w:r>
        <w:rPr>
          <w:sz w:val="26"/>
        </w:rPr>
        <w:t>огоплательщики запрашивали информацию о состоянии расчетов с бюджетом, об отражении информации и операций на ЕНС в Личном кабинете налогоплательщика, уточняли принадлежность денежных средств, перечисленных в качестве ЕНП, просили вернуть образовавшуюся пер</w:t>
      </w:r>
      <w:r>
        <w:rPr>
          <w:sz w:val="26"/>
        </w:rPr>
        <w:t>еплату по налогам, подтвердить обоснованность отказов в зачете (возврате) сумм налога.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 xml:space="preserve">Значительное количество обращений составило по вопросу </w:t>
      </w:r>
      <w:r>
        <w:rPr>
          <w:i/>
          <w:sz w:val="26"/>
        </w:rPr>
        <w:t>Налоговые преференциям и льготы физическим лицам</w:t>
      </w:r>
      <w:r>
        <w:rPr>
          <w:sz w:val="26"/>
        </w:rPr>
        <w:t xml:space="preserve"> - </w:t>
      </w:r>
      <w:r>
        <w:rPr>
          <w:b/>
          <w:sz w:val="26"/>
        </w:rPr>
        <w:t>1121</w:t>
      </w:r>
      <w:r>
        <w:rPr>
          <w:sz w:val="26"/>
        </w:rPr>
        <w:t xml:space="preserve"> обращений (7,1 %); </w:t>
      </w:r>
      <w:r>
        <w:rPr>
          <w:i/>
          <w:sz w:val="26"/>
        </w:rPr>
        <w:t>налогообложение малого бизнеса, специал</w:t>
      </w:r>
      <w:r>
        <w:rPr>
          <w:i/>
          <w:sz w:val="26"/>
        </w:rPr>
        <w:t>ьных налоговых режимов</w:t>
      </w:r>
      <w:r>
        <w:rPr>
          <w:sz w:val="26"/>
        </w:rPr>
        <w:t xml:space="preserve"> - </w:t>
      </w:r>
      <w:r>
        <w:rPr>
          <w:b/>
          <w:sz w:val="26"/>
        </w:rPr>
        <w:t>946</w:t>
      </w:r>
      <w:r>
        <w:rPr>
          <w:sz w:val="26"/>
        </w:rPr>
        <w:t xml:space="preserve"> обращений (6 %).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lastRenderedPageBreak/>
        <w:t xml:space="preserve">Наряду </w:t>
      </w:r>
      <w:proofErr w:type="gramStart"/>
      <w:r>
        <w:rPr>
          <w:sz w:val="26"/>
        </w:rPr>
        <w:t>с</w:t>
      </w:r>
      <w:proofErr w:type="gramEnd"/>
      <w:r>
        <w:rPr>
          <w:sz w:val="26"/>
        </w:rPr>
        <w:t xml:space="preserve"> </w:t>
      </w:r>
      <w:proofErr w:type="gramStart"/>
      <w:r>
        <w:rPr>
          <w:sz w:val="26"/>
        </w:rPr>
        <w:t>вышеуказанными</w:t>
      </w:r>
      <w:proofErr w:type="gramEnd"/>
      <w:r>
        <w:rPr>
          <w:sz w:val="26"/>
        </w:rPr>
        <w:t xml:space="preserve"> оставались актуальными обращения с тематикой </w:t>
      </w:r>
      <w:r>
        <w:rPr>
          <w:i/>
          <w:sz w:val="26"/>
        </w:rPr>
        <w:t>Администрирования имущественных налогов</w:t>
      </w:r>
      <w:r>
        <w:rPr>
          <w:sz w:val="26"/>
        </w:rPr>
        <w:t xml:space="preserve"> – </w:t>
      </w:r>
      <w:r>
        <w:rPr>
          <w:b/>
          <w:sz w:val="26"/>
        </w:rPr>
        <w:t xml:space="preserve">1023 </w:t>
      </w:r>
      <w:r>
        <w:rPr>
          <w:sz w:val="26"/>
        </w:rPr>
        <w:t xml:space="preserve">обращение (6,5 %) (из них по </w:t>
      </w:r>
      <w:r>
        <w:rPr>
          <w:i/>
          <w:sz w:val="26"/>
        </w:rPr>
        <w:t xml:space="preserve">налогу на имущество - </w:t>
      </w:r>
      <w:r>
        <w:rPr>
          <w:sz w:val="26"/>
        </w:rPr>
        <w:t xml:space="preserve"> </w:t>
      </w:r>
      <w:r>
        <w:rPr>
          <w:b/>
          <w:sz w:val="26"/>
        </w:rPr>
        <w:t>397</w:t>
      </w:r>
      <w:r>
        <w:rPr>
          <w:sz w:val="26"/>
        </w:rPr>
        <w:t xml:space="preserve"> обращений</w:t>
      </w:r>
      <w:r>
        <w:rPr>
          <w:i/>
          <w:sz w:val="26"/>
        </w:rPr>
        <w:t xml:space="preserve">, по транспортному налогу - </w:t>
      </w:r>
      <w:r>
        <w:rPr>
          <w:b/>
          <w:sz w:val="26"/>
        </w:rPr>
        <w:t>5</w:t>
      </w:r>
      <w:r>
        <w:rPr>
          <w:b/>
          <w:sz w:val="26"/>
        </w:rPr>
        <w:t>01</w:t>
      </w:r>
      <w:r>
        <w:rPr>
          <w:sz w:val="26"/>
        </w:rPr>
        <w:t xml:space="preserve"> обращение</w:t>
      </w:r>
      <w:r>
        <w:rPr>
          <w:i/>
          <w:sz w:val="26"/>
        </w:rPr>
        <w:t xml:space="preserve">, по земельному налогу - </w:t>
      </w:r>
      <w:r>
        <w:rPr>
          <w:b/>
          <w:sz w:val="26"/>
        </w:rPr>
        <w:t>125</w:t>
      </w:r>
      <w:r>
        <w:rPr>
          <w:sz w:val="26"/>
        </w:rPr>
        <w:t xml:space="preserve"> обращений).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 xml:space="preserve">Помимо этого, часть обращений, поступивших в 1 квартале, касались следующих вопросов: </w:t>
      </w:r>
      <w:r>
        <w:rPr>
          <w:i/>
          <w:sz w:val="26"/>
        </w:rPr>
        <w:t xml:space="preserve">Актуализации сведений об объектах налогообложения – </w:t>
      </w:r>
      <w:r>
        <w:rPr>
          <w:b/>
          <w:sz w:val="26"/>
        </w:rPr>
        <w:t xml:space="preserve">592 </w:t>
      </w:r>
      <w:r>
        <w:rPr>
          <w:sz w:val="26"/>
        </w:rPr>
        <w:t>обращения (3,7 %). На основании представленных заявителями до</w:t>
      </w:r>
      <w:r>
        <w:rPr>
          <w:sz w:val="26"/>
        </w:rPr>
        <w:t>кументов внесены изменения в информационные ресурсы налоговых органов об объектах налогообложения и в необходимых случаях произведены перерасчеты сумм имущественных налогов.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i/>
          <w:sz w:val="26"/>
        </w:rPr>
        <w:t xml:space="preserve">Контроль и надзор в налоговой сфере </w:t>
      </w:r>
      <w:r>
        <w:rPr>
          <w:sz w:val="26"/>
        </w:rPr>
        <w:t xml:space="preserve">– </w:t>
      </w:r>
      <w:r>
        <w:rPr>
          <w:b/>
          <w:sz w:val="26"/>
        </w:rPr>
        <w:t xml:space="preserve">659 </w:t>
      </w:r>
      <w:r>
        <w:rPr>
          <w:sz w:val="26"/>
        </w:rPr>
        <w:t>обращений (4,2 % от общего количества).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i/>
          <w:sz w:val="26"/>
        </w:rPr>
        <w:t>Отзыв/прекращение рассмотрения</w:t>
      </w:r>
      <w:r>
        <w:rPr>
          <w:sz w:val="26"/>
        </w:rPr>
        <w:t xml:space="preserve"> ранее поданных обращений в 1 квартале - </w:t>
      </w:r>
      <w:r>
        <w:rPr>
          <w:b/>
          <w:sz w:val="26"/>
        </w:rPr>
        <w:t>673</w:t>
      </w:r>
      <w:r>
        <w:rPr>
          <w:sz w:val="26"/>
        </w:rPr>
        <w:t xml:space="preserve"> заявления (4,3 %).</w:t>
      </w:r>
    </w:p>
    <w:p w:rsidR="00AB1492" w:rsidRDefault="00616C9B">
      <w:pPr>
        <w:ind w:firstLine="851"/>
        <w:jc w:val="both"/>
        <w:rPr>
          <w:sz w:val="26"/>
        </w:rPr>
      </w:pPr>
      <w:r>
        <w:rPr>
          <w:sz w:val="26"/>
        </w:rPr>
        <w:t>Подробная статистика обращений, поступивших в Управление, в разрезе тематик приведена в приложении № 1.</w:t>
      </w:r>
    </w:p>
    <w:p w:rsidR="00AB1492" w:rsidRDefault="00616C9B">
      <w:pPr>
        <w:pStyle w:val="Default"/>
        <w:ind w:firstLine="851"/>
        <w:jc w:val="both"/>
        <w:rPr>
          <w:sz w:val="26"/>
        </w:rPr>
      </w:pPr>
      <w:r>
        <w:rPr>
          <w:sz w:val="26"/>
        </w:rPr>
        <w:t xml:space="preserve">Нарушений контрольного срока рассмотрения обращений </w:t>
      </w:r>
      <w:r>
        <w:rPr>
          <w:sz w:val="26"/>
        </w:rPr>
        <w:t>граждан за 1 квартал не установлено.</w:t>
      </w:r>
    </w:p>
    <w:p w:rsidR="00AB1492" w:rsidRDefault="00616C9B">
      <w:pPr>
        <w:pStyle w:val="Default"/>
        <w:ind w:firstLine="851"/>
        <w:jc w:val="both"/>
        <w:rPr>
          <w:sz w:val="26"/>
        </w:rPr>
      </w:pPr>
      <w:r>
        <w:rPr>
          <w:sz w:val="26"/>
        </w:rPr>
        <w:t xml:space="preserve">Одной из составляющих работы Управления с обращениями граждан является личный прием граждан. </w:t>
      </w:r>
      <w:proofErr w:type="gramStart"/>
      <w:r>
        <w:rPr>
          <w:sz w:val="26"/>
        </w:rPr>
        <w:t>В 1 квартале 2026 года на личный прием к руководству Управления обратилось 6 граждан по вопросу уплаты НДФЛ при продаже имущес</w:t>
      </w:r>
      <w:r>
        <w:rPr>
          <w:sz w:val="26"/>
        </w:rPr>
        <w:t xml:space="preserve">тва, по проведению выездной налоговой проверки юридического лица, урегулирования задолженности юридического лица, регистрации физического лица в качестве индивидуального предпринимателя без его согласия, по вопросу налоговой отчетности, а также по вопросу </w:t>
      </w:r>
      <w:r>
        <w:rPr>
          <w:sz w:val="26"/>
        </w:rPr>
        <w:t>регистрации юридических лиц, физических лиц в качестве индивидуальных предпринимателей и</w:t>
      </w:r>
      <w:proofErr w:type="gramEnd"/>
      <w:r>
        <w:rPr>
          <w:sz w:val="26"/>
        </w:rPr>
        <w:t xml:space="preserve"> крестьянских (фермерских) хозяйств. </w:t>
      </w:r>
    </w:p>
    <w:p w:rsidR="00AB1492" w:rsidRDefault="00616C9B">
      <w:pPr>
        <w:pStyle w:val="Default"/>
        <w:ind w:firstLine="851"/>
        <w:jc w:val="both"/>
        <w:rPr>
          <w:sz w:val="26"/>
        </w:rPr>
      </w:pPr>
      <w:r>
        <w:rPr>
          <w:sz w:val="26"/>
        </w:rPr>
        <w:t xml:space="preserve">Всем обратившимся с согласия налогоплательщика, уполномоченными должностными лицами Управления, в ходе личного приема, устно даны </w:t>
      </w:r>
      <w:r>
        <w:rPr>
          <w:sz w:val="26"/>
        </w:rPr>
        <w:t>подробные разъяснения.</w:t>
      </w:r>
    </w:p>
    <w:p w:rsidR="00AB1492" w:rsidRPr="00616C9B" w:rsidRDefault="00AB1492">
      <w:pPr>
        <w:pStyle w:val="23"/>
        <w:ind w:firstLine="851"/>
        <w:jc w:val="both"/>
        <w:rPr>
          <w:sz w:val="26"/>
        </w:rPr>
      </w:pPr>
    </w:p>
    <w:p w:rsidR="00616C9B" w:rsidRPr="00616C9B" w:rsidRDefault="00616C9B">
      <w:pPr>
        <w:pStyle w:val="23"/>
        <w:ind w:firstLine="851"/>
        <w:jc w:val="both"/>
        <w:rPr>
          <w:sz w:val="26"/>
        </w:rPr>
      </w:pPr>
    </w:p>
    <w:p w:rsidR="00616C9B" w:rsidRPr="00616C9B" w:rsidRDefault="00616C9B" w:rsidP="00616C9B">
      <w:pPr>
        <w:jc w:val="center"/>
        <w:rPr>
          <w:sz w:val="27"/>
        </w:rPr>
      </w:pPr>
      <w:r w:rsidRPr="00616C9B">
        <w:rPr>
          <w:sz w:val="27"/>
        </w:rPr>
        <w:t>СПРАВКА</w:t>
      </w:r>
    </w:p>
    <w:p w:rsidR="00616C9B" w:rsidRPr="00616C9B" w:rsidRDefault="00616C9B" w:rsidP="00616C9B">
      <w:pPr>
        <w:jc w:val="center"/>
        <w:rPr>
          <w:sz w:val="26"/>
        </w:rPr>
      </w:pPr>
      <w:r w:rsidRPr="00616C9B">
        <w:rPr>
          <w:sz w:val="26"/>
        </w:rPr>
        <w:t xml:space="preserve">по тематике обращений граждан, </w:t>
      </w:r>
      <w:proofErr w:type="gramStart"/>
      <w:r w:rsidRPr="00616C9B">
        <w:rPr>
          <w:sz w:val="26"/>
        </w:rPr>
        <w:t>поступившим</w:t>
      </w:r>
      <w:proofErr w:type="gramEnd"/>
      <w:r w:rsidRPr="00616C9B">
        <w:rPr>
          <w:sz w:val="26"/>
        </w:rPr>
        <w:t xml:space="preserve"> в Управление за март 2026 года</w:t>
      </w:r>
    </w:p>
    <w:p w:rsidR="00616C9B" w:rsidRPr="00616C9B" w:rsidRDefault="00616C9B" w:rsidP="00616C9B">
      <w:pPr>
        <w:jc w:val="center"/>
        <w:rPr>
          <w:sz w:val="25"/>
        </w:rPr>
      </w:pPr>
      <w:r w:rsidRPr="00616C9B">
        <w:rPr>
          <w:sz w:val="25"/>
        </w:rPr>
        <w:t>в соответствии с Типовым общероссийским тематическим классификатором обращений граждан</w:t>
      </w:r>
    </w:p>
    <w:p w:rsidR="00616C9B" w:rsidRPr="00616C9B" w:rsidRDefault="00616C9B" w:rsidP="00616C9B">
      <w:pPr>
        <w:jc w:val="center"/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2856"/>
        <w:gridCol w:w="6603"/>
        <w:gridCol w:w="849"/>
      </w:tblGrid>
      <w:tr w:rsidR="00616C9B" w:rsidRPr="00616C9B" w:rsidTr="00A707F7">
        <w:trPr>
          <w:trHeight w:val="300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center"/>
            </w:pPr>
            <w:r w:rsidRPr="00616C9B">
              <w:t>Код</w:t>
            </w:r>
          </w:p>
        </w:tc>
        <w:tc>
          <w:tcPr>
            <w:tcW w:w="6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center"/>
            </w:pPr>
            <w:r w:rsidRPr="00616C9B">
              <w:t>Наименование тематики документа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center"/>
            </w:pPr>
            <w:r w:rsidRPr="00616C9B">
              <w:t>Кол-во</w:t>
            </w:r>
          </w:p>
        </w:tc>
      </w:tr>
      <w:tr w:rsidR="00616C9B" w:rsidRPr="00616C9B" w:rsidTr="00A707F7">
        <w:trPr>
          <w:trHeight w:val="276"/>
        </w:trPr>
        <w:tc>
          <w:tcPr>
            <w:tcW w:w="2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/>
        </w:tc>
        <w:tc>
          <w:tcPr>
            <w:tcW w:w="6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/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center"/>
            </w:pPr>
            <w:r w:rsidRPr="00616C9B"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center"/>
            </w:pPr>
            <w:r w:rsidRPr="00616C9B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</w:t>
            </w:r>
          </w:p>
        </w:tc>
      </w:tr>
      <w:tr w:rsidR="00616C9B" w:rsidRPr="00616C9B" w:rsidTr="00A707F7">
        <w:trPr>
          <w:trHeight w:val="520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r w:rsidRPr="00616C9B">
              <w:t>0001.0000.0000.0000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pPr>
              <w:jc w:val="center"/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Государство, общество,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0001.0002.0000.0000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Основы государственного 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0001.0002.0023.0000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Органы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0001.0002.0023.0062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0001.0002.0023.0063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Работа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0001.0002.0023.0063.0102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Работоспособность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0001.0002.0023.0063.0103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Информация, размещенная на официальном сайте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256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0001.0002.0023.0063.0104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 xml:space="preserve">Функционал личного кабинета налогоплательщика для </w:t>
            </w:r>
            <w:r w:rsidRPr="00616C9B">
              <w:rPr>
                <w:i/>
                <w:color w:val="0000FF"/>
              </w:rPr>
              <w:lastRenderedPageBreak/>
              <w:t>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lastRenderedPageBreak/>
              <w:t>246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lastRenderedPageBreak/>
              <w:t>0001.0002.0023.0063.0105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Функционал личного кабинета налогоплательщиков индивидуального предпринимателя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73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0001.0002.0023.0063.0106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Функционал личного кабинета налогоплательщика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0001.0002.0023.0064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0001.0002.0023.0065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Деятельность общественного совета при органе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0001.0002.0024.0000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Поступление на государственную службу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Прохождение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0001.0002.0024.0069.0077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Назначение на должность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0001.0002.0024.0069.0078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Присвоение классного чина, дипломатического ранга, воинского и специального звания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0001.0002.0024.0069.0079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Аттестация или квалификационный 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0001.0002.0024.0069.0080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Профессиональное развитие государственных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0001.0002.0024.0069.0081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Кадровая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0001.0002.0024.0069.0082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другие обстоятельства (события), связанные с прохождением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Полномочия государственных служащих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Использование служебных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Выполнение требований к служебному поведению гражданского служащего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Соблюдение служебной дисциплины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Проведение аттестации гражданских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Урегулирование конфликта интересов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0001.0002.0024.0083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Разрешение индивидуальных служебных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0001.0002.0025.0000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0001.0002.0025.0084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Государственные программы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0001.0002.0025.0092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Государственные и муниципальные услуги (многофункциональные центры)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0001.0002.0025.0106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0001.0002.0025.0114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0001.0002.0025.0120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Цены и ценообразование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0001.0002.0027.0000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Обращения, заявления и жалобы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lastRenderedPageBreak/>
              <w:t>0001.0002.0027.0122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Неполучение ответа на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Принятое по обращению решение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18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Действие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Результаты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0001.0002.0027.0126*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Отсутствует адресат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0001.0002.0027.0127*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Обращения, не подписанные авторами, без указания адреса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0001.0002.0027.0128*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Некорректные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Обращения, не поддающиеся прочтению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0001.0002.0027.0130*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Переписка прекращена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Прекращение рассмотрения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673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Предоставление дополнительных документов и материалов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422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Истребование дополнительных документов и материалов, в том числе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207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Ознакомление с документами и материалами, касающимися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Предоставление ответа, размещенного на официальном сайте в сети «Интернет»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Рассмотрение обращения с выездом на место, в том числе с участием автора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Личный прием руководителями федеральных органов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Личный прием иностранных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Благодарности, пожелания сотрудникам подведомственных учреждений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Благодарности, приглашения, поздравления из зарубежных стран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Подарки, книги, фотографии, автографы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0001.0002.0027.0158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0001.0020.0000.0000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632423"/>
              </w:rPr>
            </w:pPr>
            <w:r w:rsidRPr="00616C9B">
              <w:rPr>
                <w:b/>
                <w:color w:val="632423"/>
              </w:rPr>
              <w:t>Международные отношения. Международное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0001.0020.0191.0176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0001.0003.0000.0000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632423"/>
              </w:rPr>
            </w:pPr>
            <w:r w:rsidRPr="00616C9B">
              <w:rPr>
                <w:b/>
                <w:color w:val="632423"/>
              </w:rPr>
              <w:t>Гражданское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0001.0003.0030.0000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Граждане (физические лица)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0001.0003.0030.0202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175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0001.0003.0030.0471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Проблемы предпринимателей, работающих без образования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0001.0003.0031.0000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Юридические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0001.0003.0031.0203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Регистрация, перерегистрация юридических лиц всех форм собственности и видов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172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0001.0003.0037.0000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 xml:space="preserve">Право собственности и другие вещные права (за </w:t>
            </w:r>
            <w:r w:rsidRPr="00616C9B">
              <w:rPr>
                <w:b/>
                <w:color w:val="800000"/>
              </w:rPr>
              <w:lastRenderedPageBreak/>
              <w:t>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lastRenderedPageBreak/>
              <w:t>0001.0003.0037.0209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Приобретение права собственности. Прекращение права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0001.0003.0037.0210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Государственная регистрация прав на недвижимое имущество и сделок с ним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0001.0003.0037.0213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Эффективность использования государственного имущества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0001.0003.0041.0000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0001.0003.0041.0219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r w:rsidRPr="00616C9B">
              <w:t>0002.0000.0000.0000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pPr>
              <w:jc w:val="center"/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Социальная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0002.0004.0000.0000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Семья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0002.0004.0048.0000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0002.0004.0048.0232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0002.0006.0000.0000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Труд и занятость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0002.0006.0064.0000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Трудоустройство и занятость населения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0002.0006.0064.0249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Индексация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0002.0006.0064.0250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Трудовые отношения. Заключение, изменение и прекращение трудового договора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0002.0006.0065.0000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Труд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Вопросы кадрового обеспечения организаций, предприятий и учреждений. Резерв управленческих кадров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Выплата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Нормативное правовое регулирование в сфере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Увольнение и восстановление на работе (кроме обжалования решений судов)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Трудовые конфликты. Разрешение трудовых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 xml:space="preserve">Надзор и </w:t>
            </w:r>
            <w:proofErr w:type="gramStart"/>
            <w:r w:rsidRPr="00616C9B">
              <w:t>контроль за</w:t>
            </w:r>
            <w:proofErr w:type="gramEnd"/>
            <w:r w:rsidRPr="00616C9B">
              <w:t xml:space="preserve"> соблюдением трудового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Дисциплина труда. Привлечение к дисциплинарной ответственности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0002.0006.0065.0269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Материальная и моральная мотивация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0002.0007.0000.0000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Социальное обеспечение и социальное страхование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0002.0007.0066.0000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Общие положения</w:t>
            </w:r>
            <w:r w:rsidRPr="00616C9B">
              <w:rPr>
                <w:color w:val="800000"/>
              </w:rPr>
              <w:t xml:space="preserve"> </w:t>
            </w:r>
            <w:r w:rsidRPr="00616C9B">
              <w:rPr>
                <w:b/>
                <w:color w:val="800000"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0002.0007.0066.0271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7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0002.0007.0067.0000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Управление социальным обеспечением и социальным страхованием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0002.0007.0067.0274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0002.0007.0068.0000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 xml:space="preserve">Финансирование социального обеспечения и социального </w:t>
            </w:r>
            <w:r w:rsidRPr="00616C9B">
              <w:rPr>
                <w:b/>
                <w:color w:val="800000"/>
              </w:rPr>
              <w:lastRenderedPageBreak/>
              <w:t>страхования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lastRenderedPageBreak/>
              <w:t>0002.0007.0068.0279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99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0002.0007.0069.0000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Трудовой стаж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0002.0007.0069.0280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Трудовой стаж и трудовые книжки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Пенсии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0002.0007.0071.0282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Назначение пенсии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0002.0007.0071.0283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Перерасчет размеров пенсий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0002.0007.0072.0000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0002.0007.0072.0288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Просьбы об оказании финансовой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0002.0007.0072.0291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0002.0007.0074.0000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0002.0007.0074.0300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Льготы и меры социальной поддержки инвалидов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0002.0007.0074.0318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0002.0013.0000.0000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632423"/>
              </w:rPr>
            </w:pPr>
            <w:r w:rsidRPr="00616C9B">
              <w:rPr>
                <w:b/>
                <w:color w:val="632423"/>
              </w:rPr>
              <w:t>Образование. Наука.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0002.0013.0141.0000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Культура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0002.0013.0141.0367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Государственный контроль и надзор в сфере сохранения культурного наследия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0002.0013.0142.0000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0002.0013.0142.0385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Взаимодействие граждан и организаций со средствами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0002.0014.0000.0000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632423"/>
              </w:rPr>
            </w:pPr>
            <w:r w:rsidRPr="00616C9B">
              <w:rPr>
                <w:b/>
                <w:color w:val="632423"/>
              </w:rPr>
              <w:t>Здравоохранение. Физическая культура и спорт. Туризм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0002.0014.0143.0000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Здравоохранение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0002.0014.0143.0389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Работа медицинских учреждений и их сотрудников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0002.0014.0143.0390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Лечение и оказание медицинской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0002.0014.0143.0413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Организация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0002.0014.0143.0414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Качество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0002.0014.0143.0429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Государственный контроль и надзор в сфере здравоохранения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0002.0014.0143.0431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color w:val="0000FF"/>
              </w:rPr>
            </w:pPr>
            <w:r w:rsidRPr="00616C9B">
              <w:rPr>
                <w:color w:val="0000FF"/>
              </w:rPr>
              <w:t>Курортное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0002.0014.0143.0431.0050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медицинская профилактика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0002.0014.0143.0431.0051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медицинская помощь и лечение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r w:rsidRPr="00616C9B">
              <w:t>0003.0000.0000.0000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pPr>
              <w:jc w:val="center"/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0003.0008.0000.0000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Финансы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0003.0008.0077.0000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Общие положения финансовой системы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0003.0008.0077.0457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Стратегия и перспективы развития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0003.0008.0079.0000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Денежная система и денежное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0003.0008.0079.0503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Игорный бизнес. Лотереи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0003.0008.0086.0000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Налоги и сборы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Государственная политика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Налоговые преференции и льготы физическим лицам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1121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0003.0008.0086.0539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Водный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Земельный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125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lastRenderedPageBreak/>
              <w:t>0003.0008.0086.0541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 на добавленную стоимость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75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 на добычу полезных ископаемых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Транспортный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501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397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3746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 на прибыль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16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Госпошлины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13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Налогообложение малого бизнеса, специальных налоговых режимов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631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0003.0008.0086.0548.0093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Налогообложение малого бизнеса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269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0003.0008.0086.0548.0094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Налог на профессиональный доход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0003.0008.0086.0548.0095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Иные специальные налоговые режимы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Юридические вопросы по налогам и сборам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7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Налогообложение алкогольной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Учет налогоплательщиков. Получение и отказ от ИНН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2698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Организация работы с налогоплательщиками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78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Актуализация сведений об объектах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592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Получение налоговых уведомлений об уплате налога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Налоговая отчетность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102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Контроль и надзор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659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425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67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0003.0008.0086.0558.0096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Задолженность ФЛ, ИП, ЮЛ по налогам, сборам и взносам перед бюджетом иностранного государства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0003.0008.0086.0558.0097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Вопросы, касающиеся ареста имущества по ст. 77 НК РФ (наличие (отсутствие) сведений об аресте имущества в реестре обеспечительных мер (РОМ))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0003.0008.0086.0558.0098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Учет уплаченных налогов, сборов и иных платежей (розыск платежа)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14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0003.0008.0086.0558.0099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Несогласие со сведениями, размещаемыми в форме «открытых данных»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0003.0008.0086.0558.0100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Подтверждение статуса налогового резидента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0003.0008.0086.0558.0101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Получение справки об отсутствии задолженности по уплате налогов для выхода из гражданства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0003.0008.0086.0558.0107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Задолженность по налогам, сборам и взносам перед бюджетом Российской Федерации. Взыскание задолженности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930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Предоставление отсрочки или рассрочки по уплате налога, сбора, пени, штрафа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16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Уклонение от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35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Доступ к персонифицированной информации о состоянии расчета с бюджетом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171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Оказание услуг в электронной форме.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Оказание услуг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Электронный документооборот между хозяйствующими субъектами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0003.0008.0086.0562.0086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 xml:space="preserve">О предоставлении информации о формировании и ведении государственного информационного ресурса бухгалтерской </w:t>
            </w:r>
            <w:r w:rsidRPr="00616C9B">
              <w:rPr>
                <w:i/>
                <w:color w:val="0000FF"/>
              </w:rPr>
              <w:lastRenderedPageBreak/>
              <w:t>(финансовой)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lastRenderedPageBreak/>
              <w:t>0003.0008.0086.0562.0087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Предоставление сведений из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Предоставление услуг органов ЗАГС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Электронные сервисы на портале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0003.0008.0086.0562.0090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Предоставление сведений из ЕРН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Маркировка товаров контрольными (идентификационными)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95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220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Регистрация физических лиц в качестве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119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Надзор в области организации и проведения азартных игр и лотерей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0003.0008.0086.0568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13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0003.0008.0086.0568.0091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Регистрация контрольно-кассовой техники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8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0003.0008.0086.0568.0092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i/>
                <w:color w:val="0000FF"/>
              </w:rPr>
            </w:pPr>
            <w:r w:rsidRPr="00616C9B">
              <w:rPr>
                <w:i/>
                <w:color w:val="0000FF"/>
              </w:rPr>
              <w:t>Контроль и надзор в сфере применения контрольно-кассовой техники;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114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0003.0008.0086.1198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22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0003.0008.0087.0000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Банковское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0003.0008.0087.0580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Банковское регулирование и надзор за деятельностью кредитных организаций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0003.0008.0088.0000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Ценные бумаги. Рынок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0003.0008.0088.0603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Рынок ценных бумаг и профессиональная деятельность на рынке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0003.0008.0089.0000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Валютное регулирование и 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0003.0008.0089.0621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Валютный рынок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0003.0008.0089.0622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Валютное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0003.0008.0089.0623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0003.0008.0089.0624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28</w:t>
            </w: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0003.0008.0092.0000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Аудиторская деятельность (за исключением экологического аудита)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0003.0008.0092.0628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Проверка деятельности хозяйствующих субъектов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0003.0009.0000.0000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Хозяйственная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0003.0009.0094.0000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Геология. Геодезия и картография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0003.0009.0094.0668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 xml:space="preserve">Работа </w:t>
            </w:r>
            <w:proofErr w:type="spellStart"/>
            <w:r w:rsidRPr="00616C9B">
              <w:t>Росреестра</w:t>
            </w:r>
            <w:proofErr w:type="spellEnd"/>
            <w:r w:rsidRPr="00616C9B">
              <w:t xml:space="preserve"> в федеральных округах и в субъектах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0003.0009.0096.0000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Строительство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0003.0009.0096.0674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Нормативное правовое регулирование строительной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0003.0009.0098.0000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Сельское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0003.0009.0098.0723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0003.0009.0098.0728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Ненадлежащее содержание домашних животных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0003.0009.0099.0000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Транспорт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0003.0009.0099.0742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Эксплуатация и сохранность автомобильных дорог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lastRenderedPageBreak/>
              <w:t>0003.0009.0099.0749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Программа по утилизации старых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0003.0009.0100.0000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Связь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0003.0009.0100.0750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Государственное регулирование деятельности в области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0003.0009.0100.0754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Оказание услуг почтовой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0003.0009.0100.0760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Качество оказания услуг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0003.0009.0100.0765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0003.0009.0102.0000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Торговля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0003.0009.0102.0771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Качество товаров. Защита прав потребителей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0003.0009.0102.0772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Продажа товаров с нарушением маркировки товаров контрольными (индикационными)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0003.0010.0000.0000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Внешнеэкономическая деятельность.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0003.0010.0112.0000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0003.0010.0112.0787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0003.0010.0116.0000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Таможенно-тарифное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0003.0010.0116.0791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Утилизационный сбор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0003.0010.0120.0000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0003.0010.0120.0801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Применение косвенных (внутренних) налогов при экспорте и импорте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0003.0010.0121.0000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0003.0010.0121.0802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Таможенное регулирование и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0003.0011.0000.0000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Природные ресурсы и охрана окружающей природной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0003.0011.0122.0000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0003.0011.0122.0828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Законодательство в области охраны окружающей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0003.0011.0123.0000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0003.0011.0123.0848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0003.0012.0000.0000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Информация и информатизация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0003.0012.0132.0000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Общие положения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0003.0012.0132.0877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Оказание услуг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0003.0012.0133.0000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Управление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0003.0012.0133.0879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Электронное правительство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0003.0012.0134.0000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pPr>
              <w:rPr>
                <w:b/>
                <w:color w:val="632423"/>
              </w:rPr>
            </w:pPr>
            <w:r w:rsidRPr="00616C9B">
              <w:rPr>
                <w:b/>
                <w:color w:val="632423"/>
              </w:rPr>
              <w:t>Информационные ресурсы.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0003.0012.0134.0880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Архивный фон. Архивы. Структура архивов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0003.0012.0134.0881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Запросы архивных данных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r w:rsidRPr="00616C9B">
              <w:t>0004.0000.0000.0000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pPr>
              <w:jc w:val="center"/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Оборона, безопасность, законность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0004.0016.0000.0000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Безопасность и охрана правопорядка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0004.0016.0162.0000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Безопасность общества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0004.0016.0162.0995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Недружественное поглощение и захват предприятий (</w:t>
            </w:r>
            <w:proofErr w:type="spellStart"/>
            <w:r w:rsidRPr="00616C9B">
              <w:t>рейдерство</w:t>
            </w:r>
            <w:proofErr w:type="spellEnd"/>
            <w:r w:rsidRPr="00616C9B"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0004.0016.0162.0996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Преступления против собственности (государственной, частной, личной)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Борьба с коррупцией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lastRenderedPageBreak/>
              <w:t>0004.0016.0162.1005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Ответственность за нарушение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Ответственность за нарушение жилищного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0004.0016.0162.1015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Ответственность за нарушение в сфере ЖКХ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Паспортная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Регистрация по месту жительства и пребывания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0004.0016.0162.1022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Противопожарная служба, соблюдение норм противопожарной безопасности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0004.0018.0000.0000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632423"/>
              </w:rPr>
            </w:pPr>
            <w:r w:rsidRPr="00616C9B">
              <w:rPr>
                <w:b/>
                <w:color w:val="632423"/>
              </w:rPr>
              <w:t>Правосудие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0004.0018.0171.0000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Судоустройство. Судебная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0004.0018.0171.1059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Обжалование судебных решений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0004.0018.0171.1070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16C9B" w:rsidRPr="00616C9B" w:rsidRDefault="00616C9B" w:rsidP="00616C9B">
            <w:r w:rsidRPr="00616C9B">
              <w:t>0004.0018.0171.1075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0004.0018.0171.1081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r w:rsidRPr="00616C9B">
              <w:t>0005.0000.0000.0000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16C9B" w:rsidRPr="00616C9B" w:rsidRDefault="00616C9B" w:rsidP="00616C9B">
            <w:pPr>
              <w:jc w:val="center"/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Жилищно-коммунальная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r w:rsidRPr="00616C9B">
              <w:t>0005.0005.0000.0000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Жилище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0005.0005.0055.0000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0005.0005.0055.1131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Выделение жилья молодым семьям, специалистам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0005.0005.0055.1142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Служебные жилые помещения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0005.0005.0056.0000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0005.0005.0056.1149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Оплата жилищно-коммунальных услуг (ЖКХ), взносов в Фонд капитального ремонта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  <w:r w:rsidRPr="00616C9B">
              <w:t>1</w:t>
            </w:r>
          </w:p>
        </w:tc>
      </w:tr>
      <w:tr w:rsidR="00616C9B" w:rsidRPr="00616C9B" w:rsidTr="00A707F7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616C9B" w:rsidRPr="00616C9B" w:rsidRDefault="00616C9B" w:rsidP="00616C9B">
            <w:r w:rsidRPr="00616C9B">
              <w:t>0005.0005.0057.0000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  <w:color w:val="800000"/>
              </w:rPr>
            </w:pPr>
            <w:r w:rsidRPr="00616C9B">
              <w:rPr>
                <w:b/>
                <w:color w:val="800000"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0005.0005.0057.1177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Участие в долевом строительстве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0005.0005.0057.1179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r w:rsidRPr="00616C9B">
              <w:t>Предоставление субсидий на жилье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jc w:val="right"/>
            </w:pPr>
          </w:p>
        </w:tc>
      </w:tr>
      <w:tr w:rsidR="00616C9B" w:rsidRPr="00616C9B" w:rsidTr="00A707F7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6C9B" w:rsidRPr="00616C9B" w:rsidRDefault="00616C9B" w:rsidP="00616C9B">
            <w:pPr>
              <w:rPr>
                <w:b/>
              </w:rPr>
            </w:pPr>
            <w:r w:rsidRPr="00616C9B">
              <w:rPr>
                <w:b/>
              </w:rPr>
              <w:t>ИТОГО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6C9B" w:rsidRPr="00616C9B" w:rsidRDefault="00616C9B" w:rsidP="00616C9B">
            <w:r w:rsidRPr="00616C9B"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6C9B" w:rsidRPr="00616C9B" w:rsidRDefault="00616C9B" w:rsidP="00616C9B">
            <w:pPr>
              <w:jc w:val="right"/>
              <w:rPr>
                <w:b/>
              </w:rPr>
            </w:pPr>
            <w:r w:rsidRPr="00616C9B">
              <w:rPr>
                <w:b/>
              </w:rPr>
              <w:t>15623</w:t>
            </w:r>
          </w:p>
        </w:tc>
      </w:tr>
    </w:tbl>
    <w:p w:rsidR="00616C9B" w:rsidRPr="00616C9B" w:rsidRDefault="00616C9B" w:rsidP="00616C9B">
      <w:pPr>
        <w:jc w:val="center"/>
      </w:pPr>
    </w:p>
    <w:p w:rsidR="00AB1492" w:rsidRDefault="00AB1492">
      <w:pPr>
        <w:ind w:left="1416" w:hanging="1416"/>
        <w:rPr>
          <w:sz w:val="20"/>
        </w:rPr>
      </w:pPr>
      <w:bookmarkStart w:id="0" w:name="_GoBack"/>
      <w:bookmarkEnd w:id="0"/>
    </w:p>
    <w:sectPr w:rsidR="00AB1492">
      <w:headerReference w:type="default" r:id="rId7"/>
      <w:pgSz w:w="11906" w:h="16838"/>
      <w:pgMar w:top="624" w:right="624" w:bottom="709" w:left="1077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6C9B">
      <w:r>
        <w:separator/>
      </w:r>
    </w:p>
  </w:endnote>
  <w:endnote w:type="continuationSeparator" w:id="0">
    <w:p w:rsidR="00000000" w:rsidRDefault="00616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Verdana">
    <w:panose1 w:val="020B060403050404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16C9B">
      <w:r>
        <w:separator/>
      </w:r>
    </w:p>
  </w:footnote>
  <w:footnote w:type="continuationSeparator" w:id="0">
    <w:p w:rsidR="00000000" w:rsidRDefault="00616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492" w:rsidRDefault="00616C9B">
    <w:pPr>
      <w:framePr w:wrap="around" w:vAnchor="text" w:hAnchor="margin" w:xAlign="center" w:y="1"/>
    </w:pPr>
    <w:r>
      <w:rPr>
        <w:rStyle w:val="af6"/>
        <w:sz w:val="22"/>
      </w:rPr>
      <w:fldChar w:fldCharType="begin"/>
    </w:r>
    <w:r>
      <w:rPr>
        <w:rStyle w:val="af6"/>
        <w:sz w:val="22"/>
      </w:rPr>
      <w:instrText xml:space="preserve">PAGE </w:instrText>
    </w:r>
    <w:r>
      <w:rPr>
        <w:rStyle w:val="af6"/>
        <w:sz w:val="22"/>
      </w:rPr>
      <w:fldChar w:fldCharType="separate"/>
    </w:r>
    <w:r>
      <w:rPr>
        <w:rStyle w:val="af6"/>
        <w:noProof/>
        <w:sz w:val="22"/>
      </w:rPr>
      <w:t>10</w:t>
    </w:r>
    <w:r>
      <w:rPr>
        <w:rStyle w:val="af6"/>
        <w:sz w:val="22"/>
      </w:rPr>
      <w:fldChar w:fldCharType="end"/>
    </w:r>
  </w:p>
  <w:p w:rsidR="00AB1492" w:rsidRDefault="00AB1492">
    <w:pPr>
      <w:pStyle w:val="af2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492"/>
    <w:rsid w:val="00616C9B"/>
    <w:rsid w:val="00AB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semiHidden="0" w:uiPriority="0" w:unhideWhenUsed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459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  <w:uiPriority w:val="39"/>
  </w:style>
  <w:style w:type="paragraph" w:customStyle="1" w:styleId="110">
    <w:name w:val="Знак1 Знак Знак Знак Знак Знак Знак Знак Знак Знак Знак Знак Знак Знак Знак Знак Знак Знак Знак Знак Знак1 Знак"/>
    <w:basedOn w:val="a"/>
    <w:link w:val="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">
    <w:name w:val="Знак1 Знак Знак Знак Знак Знак Знак Знак Знак Знак Знак Знак Знак Знак Знак Знак Знак Знак Знак Знак Знак1 Знак"/>
    <w:basedOn w:val="1"/>
    <w:link w:val="110"/>
    <w:rPr>
      <w:rFonts w:ascii="Verdana" w:hAnsi="Verdana"/>
      <w:sz w:val="20"/>
    </w:rPr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  <w:uiPriority w:val="39"/>
  </w:style>
  <w:style w:type="character" w:customStyle="1" w:styleId="70">
    <w:name w:val="Заголовок 7 Знак"/>
    <w:basedOn w:val="1"/>
    <w:link w:val="7"/>
    <w:uiPriority w:val="9"/>
    <w:rPr>
      <w:i/>
      <w:sz w:val="26"/>
    </w:rPr>
  </w:style>
  <w:style w:type="paragraph" w:customStyle="1" w:styleId="12">
    <w:name w:val="Основной шрифт абзаца1"/>
    <w:link w:val="23"/>
  </w:style>
  <w:style w:type="paragraph" w:styleId="23">
    <w:name w:val="Body Text 2"/>
    <w:basedOn w:val="a"/>
    <w:link w:val="24"/>
    <w:pPr>
      <w:jc w:val="center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  <w:uiPriority w:val="39"/>
  </w:style>
  <w:style w:type="paragraph" w:styleId="71">
    <w:name w:val="toc 7"/>
    <w:next w:val="a"/>
    <w:link w:val="72"/>
    <w:uiPriority w:val="39"/>
    <w:pPr>
      <w:ind w:left="1200"/>
    </w:pPr>
  </w:style>
  <w:style w:type="character" w:customStyle="1" w:styleId="72">
    <w:name w:val="Оглавление 7 Знак"/>
    <w:link w:val="71"/>
    <w:uiPriority w:val="39"/>
  </w:style>
  <w:style w:type="paragraph" w:customStyle="1" w:styleId="1110">
    <w:name w:val="1 Знак Знак Знак Знак Знак Знак Знак Знак Знак1 Знак1"/>
    <w:basedOn w:val="a"/>
    <w:link w:val="1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1">
    <w:name w:val="1 Знак Знак Знак Знак Знак Знак Знак Знак Знак1 Знак1"/>
    <w:basedOn w:val="1"/>
    <w:link w:val="1110"/>
    <w:rPr>
      <w:rFonts w:ascii="Verdana" w:hAnsi="Verdana"/>
      <w:sz w:val="20"/>
    </w:rPr>
  </w:style>
  <w:style w:type="paragraph" w:customStyle="1" w:styleId="a3">
    <w:name w:val="Знак Знак Знак"/>
    <w:basedOn w:val="a"/>
    <w:link w:val="a4"/>
    <w:pPr>
      <w:spacing w:after="160" w:line="240" w:lineRule="exact"/>
    </w:pPr>
    <w:rPr>
      <w:sz w:val="28"/>
    </w:rPr>
  </w:style>
  <w:style w:type="character" w:customStyle="1" w:styleId="a4">
    <w:name w:val="Знак Знак Знак"/>
    <w:basedOn w:val="1"/>
    <w:link w:val="a3"/>
    <w:rPr>
      <w:sz w:val="28"/>
    </w:rPr>
  </w:style>
  <w:style w:type="character" w:customStyle="1" w:styleId="30">
    <w:name w:val="Заголовок 3 Знак"/>
    <w:link w:val="3"/>
    <w:uiPriority w:val="9"/>
    <w:rPr>
      <w:rFonts w:ascii="XO Thames" w:hAnsi="XO Thames"/>
      <w:b/>
      <w:i/>
      <w:color w:val="000000"/>
    </w:rPr>
  </w:style>
  <w:style w:type="paragraph" w:customStyle="1" w:styleId="13">
    <w:name w:val="1 Знак"/>
    <w:basedOn w:val="a"/>
    <w:link w:val="14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4">
    <w:name w:val="1 Знак"/>
    <w:basedOn w:val="1"/>
    <w:link w:val="13"/>
    <w:rPr>
      <w:rFonts w:ascii="Verdana" w:hAnsi="Verdana"/>
      <w:sz w:val="20"/>
    </w:rPr>
  </w:style>
  <w:style w:type="paragraph" w:customStyle="1" w:styleId="15">
    <w:name w:val="1 Знак Знак Знак Знак Знак Знак Знак Знак Знак"/>
    <w:basedOn w:val="a"/>
    <w:link w:val="16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6">
    <w:name w:val="1 Знак Знак Знак Знак Знак Знак Знак Знак Знак"/>
    <w:basedOn w:val="1"/>
    <w:link w:val="15"/>
    <w:rPr>
      <w:rFonts w:ascii="Verdana" w:hAnsi="Verdana"/>
      <w:sz w:val="20"/>
    </w:rPr>
  </w:style>
  <w:style w:type="paragraph" w:customStyle="1" w:styleId="a5">
    <w:name w:val="Знак Знак Знак Знак Знак Знак Знак Знак Знак"/>
    <w:basedOn w:val="a"/>
    <w:link w:val="a6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6">
    <w:name w:val="Знак Знак Знак Знак Знак Знак Знак Знак Знак"/>
    <w:basedOn w:val="1"/>
    <w:link w:val="a5"/>
    <w:rPr>
      <w:rFonts w:ascii="Verdana" w:hAnsi="Verdana"/>
      <w:sz w:val="20"/>
    </w:rPr>
  </w:style>
  <w:style w:type="paragraph" w:customStyle="1" w:styleId="112">
    <w:name w:val="1 Знак Знак Знак Знак Знак Знак Знак Знак Знак1 Знак"/>
    <w:basedOn w:val="a"/>
    <w:link w:val="113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3">
    <w:name w:val="1 Знак Знак Знак Знак Знак Знак Знак Знак Знак1 Знак"/>
    <w:basedOn w:val="1"/>
    <w:link w:val="112"/>
    <w:rPr>
      <w:rFonts w:ascii="Verdana" w:hAnsi="Verdana"/>
      <w:sz w:val="20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a7">
    <w:name w:val="Знак"/>
    <w:basedOn w:val="a"/>
    <w:link w:val="a8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8">
    <w:name w:val="Знак"/>
    <w:basedOn w:val="1"/>
    <w:link w:val="a7"/>
    <w:rPr>
      <w:rFonts w:ascii="Verdana" w:hAnsi="Verdana"/>
      <w:sz w:val="2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  <w:uiPriority w:val="39"/>
  </w:style>
  <w:style w:type="paragraph" w:styleId="a9">
    <w:name w:val="Body Text Indent"/>
    <w:basedOn w:val="a"/>
    <w:link w:val="aa"/>
    <w:pPr>
      <w:ind w:firstLine="709"/>
      <w:jc w:val="both"/>
    </w:pPr>
    <w:rPr>
      <w:sz w:val="28"/>
    </w:r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17">
    <w:name w:val="Знак Знак Знак Знак Знак Знак1 Знак"/>
    <w:basedOn w:val="a"/>
    <w:link w:val="18"/>
    <w:pPr>
      <w:spacing w:after="160" w:line="240" w:lineRule="exact"/>
    </w:pPr>
    <w:rPr>
      <w:sz w:val="28"/>
    </w:rPr>
  </w:style>
  <w:style w:type="character" w:customStyle="1" w:styleId="18">
    <w:name w:val="Знак Знак Знак Знак Знак Знак1 Знак"/>
    <w:basedOn w:val="1"/>
    <w:link w:val="17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50">
    <w:name w:val="Заголовок 5 Знак"/>
    <w:basedOn w:val="1"/>
    <w:link w:val="5"/>
    <w:uiPriority w:val="9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character" w:customStyle="1" w:styleId="11">
    <w:name w:val="Заголовок 1 Знак"/>
    <w:link w:val="10"/>
    <w:uiPriority w:val="9"/>
    <w:rPr>
      <w:rFonts w:ascii="XO Thames" w:hAnsi="XO Thames"/>
      <w:b/>
      <w:sz w:val="32"/>
    </w:rPr>
  </w:style>
  <w:style w:type="paragraph" w:styleId="ad">
    <w:name w:val="caption"/>
    <w:basedOn w:val="a"/>
    <w:next w:val="a"/>
    <w:link w:val="ae"/>
    <w:pPr>
      <w:jc w:val="center"/>
    </w:pPr>
    <w:rPr>
      <w:b/>
      <w:sz w:val="28"/>
    </w:rPr>
  </w:style>
  <w:style w:type="character" w:customStyle="1" w:styleId="ae">
    <w:name w:val="Название объекта Знак"/>
    <w:basedOn w:val="1"/>
    <w:link w:val="ad"/>
    <w:rPr>
      <w:b/>
      <w:sz w:val="28"/>
    </w:rPr>
  </w:style>
  <w:style w:type="paragraph" w:customStyle="1" w:styleId="19">
    <w:name w:val="Гиперссылка1"/>
    <w:link w:val="af"/>
    <w:rPr>
      <w:color w:val="0000FF"/>
      <w:u w:val="single"/>
    </w:rPr>
  </w:style>
  <w:style w:type="character" w:styleId="af">
    <w:name w:val="Hyperlink"/>
    <w:link w:val="19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</w:rPr>
  </w:style>
  <w:style w:type="character" w:customStyle="1" w:styleId="1b">
    <w:name w:val="Оглавление 1 Знак"/>
    <w:link w:val="1a"/>
    <w:uiPriority w:val="39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0">
    <w:name w:val="foot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rPr>
      <w:sz w:val="24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  <w:uiPriority w:val="39"/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1"/>
    <w:link w:val="af2"/>
    <w:rPr>
      <w:sz w:val="24"/>
    </w:rPr>
  </w:style>
  <w:style w:type="paragraph" w:styleId="af4">
    <w:name w:val="Body Text"/>
    <w:basedOn w:val="a"/>
    <w:link w:val="af5"/>
    <w:pPr>
      <w:spacing w:before="30" w:after="30"/>
      <w:ind w:right="21" w:firstLine="708"/>
      <w:jc w:val="both"/>
    </w:pPr>
    <w:rPr>
      <w:sz w:val="27"/>
    </w:rPr>
  </w:style>
  <w:style w:type="character" w:customStyle="1" w:styleId="af5">
    <w:name w:val="Основной текст Знак"/>
    <w:basedOn w:val="1"/>
    <w:link w:val="af4"/>
    <w:rPr>
      <w:sz w:val="27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  <w:uiPriority w:val="39"/>
  </w:style>
  <w:style w:type="paragraph" w:customStyle="1" w:styleId="1c">
    <w:name w:val="Номер страницы1"/>
    <w:basedOn w:val="12"/>
    <w:link w:val="af6"/>
  </w:style>
  <w:style w:type="character" w:styleId="af6">
    <w:name w:val="page number"/>
    <w:basedOn w:val="a0"/>
    <w:link w:val="1c"/>
  </w:style>
  <w:style w:type="paragraph" w:customStyle="1" w:styleId="1d">
    <w:name w:val="1 Знак Знак Знак Знак Знак Знак"/>
    <w:basedOn w:val="a"/>
    <w:link w:val="1e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e">
    <w:name w:val="1 Знак Знак Знак Знак Знак Знак"/>
    <w:basedOn w:val="1"/>
    <w:link w:val="1d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  <w:uiPriority w:val="39"/>
  </w:style>
  <w:style w:type="paragraph" w:customStyle="1" w:styleId="1f">
    <w:name w:val="1 Знак Знак Знак"/>
    <w:basedOn w:val="a"/>
    <w:link w:val="1f0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0">
    <w:name w:val="1 Знак Знак Знак"/>
    <w:basedOn w:val="1"/>
    <w:link w:val="1f"/>
    <w:rPr>
      <w:rFonts w:ascii="Verdana" w:hAnsi="Verdana"/>
      <w:sz w:val="20"/>
    </w:rPr>
  </w:style>
  <w:style w:type="paragraph" w:customStyle="1" w:styleId="1f1">
    <w:name w:val="1 Знак Знак Знак Знак Знак Знак Знак"/>
    <w:basedOn w:val="a"/>
    <w:link w:val="1f2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2">
    <w:name w:val="1 Знак Знак Знак Знак Знак Знак Знак"/>
    <w:basedOn w:val="1"/>
    <w:link w:val="1f1"/>
    <w:rPr>
      <w:rFonts w:ascii="Verdana" w:hAnsi="Verdana"/>
      <w:sz w:val="20"/>
    </w:rPr>
  </w:style>
  <w:style w:type="paragraph" w:styleId="af7">
    <w:name w:val="Subtitle"/>
    <w:next w:val="a"/>
    <w:link w:val="af8"/>
    <w:uiPriority w:val="11"/>
    <w:qFormat/>
    <w:rPr>
      <w:rFonts w:ascii="XO Thames" w:hAnsi="XO Thames"/>
      <w:i/>
      <w:color w:val="616161"/>
      <w:sz w:val="24"/>
    </w:rPr>
  </w:style>
  <w:style w:type="character" w:customStyle="1" w:styleId="af8">
    <w:name w:val="Подзаголовок Знак"/>
    <w:link w:val="af7"/>
    <w:uiPriority w:val="11"/>
    <w:rPr>
      <w:rFonts w:ascii="XO Thames" w:hAnsi="XO Thames"/>
      <w:i/>
      <w:color w:val="616161"/>
      <w:sz w:val="24"/>
    </w:rPr>
  </w:style>
  <w:style w:type="paragraph" w:customStyle="1" w:styleId="1f3">
    <w:name w:val="Знак1"/>
    <w:basedOn w:val="a"/>
    <w:link w:val="1f4"/>
    <w:pPr>
      <w:spacing w:after="160" w:line="240" w:lineRule="exact"/>
    </w:pPr>
    <w:rPr>
      <w:sz w:val="28"/>
    </w:rPr>
  </w:style>
  <w:style w:type="character" w:customStyle="1" w:styleId="1f4">
    <w:name w:val="Знак1"/>
    <w:basedOn w:val="1"/>
    <w:link w:val="1f3"/>
    <w:rPr>
      <w:sz w:val="28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customStyle="1" w:styleId="af9">
    <w:name w:val="Знак Знак Знак"/>
    <w:basedOn w:val="a"/>
    <w:link w:val="afa"/>
    <w:pPr>
      <w:spacing w:after="160" w:line="240" w:lineRule="exact"/>
    </w:pPr>
    <w:rPr>
      <w:sz w:val="28"/>
    </w:rPr>
  </w:style>
  <w:style w:type="character" w:customStyle="1" w:styleId="afa">
    <w:name w:val="Знак Знак Знак"/>
    <w:basedOn w:val="1"/>
    <w:link w:val="af9"/>
    <w:rPr>
      <w:sz w:val="28"/>
    </w:rPr>
  </w:style>
  <w:style w:type="paragraph" w:styleId="afb">
    <w:name w:val="Title"/>
    <w:basedOn w:val="a"/>
    <w:link w:val="afc"/>
    <w:uiPriority w:val="10"/>
    <w:qFormat/>
    <w:pPr>
      <w:ind w:right="-908" w:hanging="1134"/>
      <w:jc w:val="center"/>
    </w:pPr>
    <w:rPr>
      <w:b/>
      <w:sz w:val="36"/>
    </w:rPr>
  </w:style>
  <w:style w:type="character" w:customStyle="1" w:styleId="afc">
    <w:name w:val="Название Знак"/>
    <w:basedOn w:val="1"/>
    <w:link w:val="afb"/>
    <w:uiPriority w:val="10"/>
    <w:rPr>
      <w:b/>
      <w:sz w:val="36"/>
    </w:rPr>
  </w:style>
  <w:style w:type="character" w:customStyle="1" w:styleId="40">
    <w:name w:val="Заголовок 4 Знак"/>
    <w:link w:val="4"/>
    <w:uiPriority w:val="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uiPriority w:val="9"/>
    <w:rPr>
      <w:rFonts w:ascii="XO Thames" w:hAnsi="XO Thames"/>
      <w:b/>
      <w:color w:val="00A0FF"/>
      <w:sz w:val="26"/>
    </w:rPr>
  </w:style>
  <w:style w:type="character" w:customStyle="1" w:styleId="60">
    <w:name w:val="Заголовок 6 Знак"/>
    <w:basedOn w:val="1"/>
    <w:link w:val="6"/>
    <w:uiPriority w:val="9"/>
    <w:rPr>
      <w:sz w:val="28"/>
    </w:rPr>
  </w:style>
  <w:style w:type="table" w:styleId="afd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0">
    <w:name w:val="xl70"/>
    <w:basedOn w:val="a"/>
    <w:rsid w:val="00616C9B"/>
    <w:pPr>
      <w:spacing w:beforeAutospacing="1" w:afterAutospacing="1"/>
    </w:pPr>
  </w:style>
  <w:style w:type="paragraph" w:customStyle="1" w:styleId="xl76">
    <w:name w:val="xl76"/>
    <w:basedOn w:val="a"/>
    <w:rsid w:val="00616C9B"/>
    <w:pPr>
      <w:spacing w:beforeAutospacing="1" w:afterAutospacing="1"/>
    </w:pPr>
    <w:rPr>
      <w:b/>
      <w:color w:val="632423"/>
    </w:rPr>
  </w:style>
  <w:style w:type="paragraph" w:customStyle="1" w:styleId="xl65">
    <w:name w:val="xl65"/>
    <w:basedOn w:val="a"/>
    <w:rsid w:val="00616C9B"/>
    <w:pPr>
      <w:spacing w:beforeAutospacing="1" w:afterAutospacing="1"/>
    </w:pPr>
  </w:style>
  <w:style w:type="paragraph" w:customStyle="1" w:styleId="xl78">
    <w:name w:val="xl78"/>
    <w:basedOn w:val="a"/>
    <w:rsid w:val="00616C9B"/>
    <w:pPr>
      <w:spacing w:beforeAutospacing="1" w:afterAutospacing="1"/>
    </w:pPr>
    <w:rPr>
      <w:b/>
      <w:color w:val="632423"/>
    </w:rPr>
  </w:style>
  <w:style w:type="paragraph" w:customStyle="1" w:styleId="xl75">
    <w:name w:val="xl75"/>
    <w:basedOn w:val="a"/>
    <w:rsid w:val="00616C9B"/>
    <w:pPr>
      <w:spacing w:beforeAutospacing="1" w:afterAutospacing="1"/>
    </w:pPr>
  </w:style>
  <w:style w:type="paragraph" w:customStyle="1" w:styleId="xl71">
    <w:name w:val="xl71"/>
    <w:basedOn w:val="a"/>
    <w:rsid w:val="00616C9B"/>
    <w:pPr>
      <w:spacing w:beforeAutospacing="1" w:afterAutospacing="1"/>
    </w:pPr>
    <w:rPr>
      <w:b/>
      <w:color w:val="800000"/>
    </w:rPr>
  </w:style>
  <w:style w:type="paragraph" w:customStyle="1" w:styleId="font6">
    <w:name w:val="font6"/>
    <w:basedOn w:val="a"/>
    <w:rsid w:val="00616C9B"/>
    <w:pPr>
      <w:spacing w:beforeAutospacing="1" w:afterAutospacing="1"/>
    </w:pPr>
    <w:rPr>
      <w:color w:val="800000"/>
    </w:rPr>
  </w:style>
  <w:style w:type="paragraph" w:customStyle="1" w:styleId="xl66">
    <w:name w:val="xl66"/>
    <w:basedOn w:val="a"/>
    <w:rsid w:val="00616C9B"/>
    <w:pPr>
      <w:spacing w:beforeAutospacing="1" w:afterAutospacing="1"/>
      <w:jc w:val="center"/>
    </w:pPr>
  </w:style>
  <w:style w:type="paragraph" w:customStyle="1" w:styleId="xl80">
    <w:name w:val="xl80"/>
    <w:basedOn w:val="a"/>
    <w:rsid w:val="00616C9B"/>
    <w:pPr>
      <w:spacing w:beforeAutospacing="1" w:afterAutospacing="1"/>
      <w:jc w:val="center"/>
    </w:pPr>
  </w:style>
  <w:style w:type="paragraph" w:customStyle="1" w:styleId="xl77">
    <w:name w:val="xl77"/>
    <w:basedOn w:val="a"/>
    <w:rsid w:val="00616C9B"/>
    <w:pPr>
      <w:spacing w:beforeAutospacing="1" w:afterAutospacing="1"/>
    </w:pPr>
    <w:rPr>
      <w:b/>
      <w:color w:val="800000"/>
    </w:rPr>
  </w:style>
  <w:style w:type="paragraph" w:customStyle="1" w:styleId="1f5">
    <w:name w:val="Просмотренная гиперссылка1"/>
    <w:link w:val="afe"/>
    <w:rsid w:val="00616C9B"/>
    <w:rPr>
      <w:color w:val="954F72"/>
      <w:u w:val="single"/>
    </w:rPr>
  </w:style>
  <w:style w:type="character" w:styleId="afe">
    <w:name w:val="FollowedHyperlink"/>
    <w:link w:val="1f5"/>
    <w:rsid w:val="00616C9B"/>
    <w:rPr>
      <w:color w:val="954F72"/>
      <w:u w:val="single"/>
    </w:rPr>
  </w:style>
  <w:style w:type="paragraph" w:customStyle="1" w:styleId="xl79">
    <w:name w:val="xl79"/>
    <w:basedOn w:val="a"/>
    <w:rsid w:val="00616C9B"/>
    <w:pPr>
      <w:spacing w:beforeAutospacing="1" w:afterAutospacing="1"/>
    </w:pPr>
    <w:rPr>
      <w:b/>
    </w:rPr>
  </w:style>
  <w:style w:type="paragraph" w:customStyle="1" w:styleId="xl72">
    <w:name w:val="xl72"/>
    <w:basedOn w:val="a"/>
    <w:rsid w:val="00616C9B"/>
    <w:pPr>
      <w:spacing w:beforeAutospacing="1" w:afterAutospacing="1"/>
    </w:pPr>
  </w:style>
  <w:style w:type="paragraph" w:customStyle="1" w:styleId="font5">
    <w:name w:val="font5"/>
    <w:basedOn w:val="a"/>
    <w:rsid w:val="00616C9B"/>
    <w:pPr>
      <w:spacing w:beforeAutospacing="1" w:afterAutospacing="1"/>
    </w:pPr>
    <w:rPr>
      <w:b/>
      <w:color w:val="800000"/>
    </w:rPr>
  </w:style>
  <w:style w:type="paragraph" w:customStyle="1" w:styleId="xl68">
    <w:name w:val="xl68"/>
    <w:basedOn w:val="a"/>
    <w:rsid w:val="00616C9B"/>
    <w:pPr>
      <w:spacing w:beforeAutospacing="1" w:afterAutospacing="1"/>
      <w:jc w:val="center"/>
    </w:pPr>
    <w:rPr>
      <w:b/>
      <w:color w:val="800000"/>
    </w:rPr>
  </w:style>
  <w:style w:type="paragraph" w:customStyle="1" w:styleId="xl67">
    <w:name w:val="xl67"/>
    <w:basedOn w:val="a"/>
    <w:rsid w:val="00616C9B"/>
    <w:pPr>
      <w:spacing w:beforeAutospacing="1" w:afterAutospacing="1"/>
    </w:pPr>
  </w:style>
  <w:style w:type="paragraph" w:customStyle="1" w:styleId="xl74">
    <w:name w:val="xl74"/>
    <w:basedOn w:val="a"/>
    <w:rsid w:val="00616C9B"/>
    <w:pPr>
      <w:spacing w:beforeAutospacing="1" w:afterAutospacing="1"/>
    </w:pPr>
  </w:style>
  <w:style w:type="paragraph" w:customStyle="1" w:styleId="xl73">
    <w:name w:val="xl73"/>
    <w:basedOn w:val="a"/>
    <w:rsid w:val="00616C9B"/>
    <w:pPr>
      <w:spacing w:beforeAutospacing="1" w:afterAutospacing="1"/>
    </w:pPr>
    <w:rPr>
      <w:b/>
      <w:color w:val="8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4080</Words>
  <Characters>23258</Characters>
  <Application>Microsoft Office Word</Application>
  <DocSecurity>0</DocSecurity>
  <Lines>193</Lines>
  <Paragraphs>54</Paragraphs>
  <ScaleCrop>false</ScaleCrop>
  <Company/>
  <LinksUpToDate>false</LinksUpToDate>
  <CharactersWithSpaces>27284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Доронина Мария Владимировна</cp:lastModifiedBy>
  <cp:revision>2</cp:revision>
  <dcterms:created xsi:type="dcterms:W3CDTF">2026-05-04T06:06:00Z</dcterms:created>
  <dcterms:modified xsi:type="dcterms:W3CDTF">2026-05-04T06:07:00Z</dcterms:modified>
</cp:coreProperties>
</file>